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D4" w:rsidRDefault="00616F50">
      <w:pPr>
        <w:spacing w:after="120" w:line="276" w:lineRule="auto"/>
        <w:jc w:val="center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 w:cs="Calibri"/>
          <w:b/>
          <w:sz w:val="22"/>
          <w:szCs w:val="22"/>
        </w:rPr>
        <w:t>Příloha c) Smlouvy o poskytování Služby následné péče „Pavučina“</w:t>
      </w:r>
    </w:p>
    <w:p w:rsidR="009F3ED4" w:rsidRDefault="00616F50">
      <w:pPr>
        <w:jc w:val="center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t>Pravidla pro podávání a vyřizování stížností a připomínek</w:t>
      </w:r>
    </w:p>
    <w:p w:rsidR="009F3ED4" w:rsidRDefault="009F3ED4">
      <w:pPr>
        <w:rPr>
          <w:szCs w:val="22"/>
        </w:rPr>
      </w:pPr>
    </w:p>
    <w:p w:rsidR="009F3ED4" w:rsidRDefault="00616F50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Informace o tom, kdo může podat stížnost, co je stížnost nebo připomínka</w:t>
      </w:r>
    </w:p>
    <w:p w:rsidR="009F3ED4" w:rsidRDefault="00616F50">
      <w:pPr>
        <w:spacing w:after="120"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Možnost podat stížnost má uživatel služby, osoba jednající v zájmu uživatele, </w:t>
      </w:r>
      <w:r>
        <w:rPr>
          <w:rFonts w:asciiTheme="minorHAnsi" w:hAnsiTheme="minorHAnsi" w:cs="Arial"/>
        </w:rPr>
        <w:t xml:space="preserve">příbuzný, blízká osoba či zástupce uživatele služby, </w:t>
      </w:r>
      <w:r>
        <w:rPr>
          <w:rFonts w:asciiTheme="minorHAnsi" w:hAnsiTheme="minorHAnsi"/>
        </w:rPr>
        <w:t>veřejnost.</w:t>
      </w:r>
    </w:p>
    <w:p w:rsidR="009F3ED4" w:rsidRDefault="00616F50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Služba následné péče „Pavučina“ se zabývá každou přijatou stížností. Stěžovatel nebo osoba, v jehož zájmu byla stí</w:t>
      </w:r>
      <w:r>
        <w:rPr>
          <w:rFonts w:asciiTheme="minorHAnsi" w:hAnsiTheme="minorHAnsi"/>
        </w:rPr>
        <w:t xml:space="preserve">žnost podána, nesmí být z důvodu podání stížnosti žádným způsobem diskriminován. </w:t>
      </w:r>
    </w:p>
    <w:p w:rsidR="009F3ED4" w:rsidRDefault="00616F50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Stížnost </w:t>
      </w:r>
      <w:r>
        <w:rPr>
          <w:rFonts w:asciiTheme="minorHAnsi" w:hAnsiTheme="minorHAnsi"/>
        </w:rPr>
        <w:t>je písemné nebo ústní podání, kterým se můžete obrátit na pracovníky Služby následné péče „Pavučina“ ve věci ochrany svých zájmů nebo upozornit na nedostatky či záva</w:t>
      </w:r>
      <w:r>
        <w:rPr>
          <w:rFonts w:asciiTheme="minorHAnsi" w:hAnsiTheme="minorHAnsi"/>
        </w:rPr>
        <w:t>dy služby nebo kterým poukážete na nevhodné chování sociálních pracovnic. Stížnost je charakteristická porušením nároku nebo práva, které Vám náleží.</w:t>
      </w:r>
    </w:p>
    <w:p w:rsidR="009F3ED4" w:rsidRDefault="00616F50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Připomínkou</w:t>
      </w:r>
      <w:r>
        <w:rPr>
          <w:rFonts w:asciiTheme="minorHAnsi" w:hAnsiTheme="minorHAnsi"/>
        </w:rPr>
        <w:t xml:space="preserve"> je jakýkoliv podnět ke změně, kterým můžete přispět ke zlepšení kvality poskytovaných služeb. </w:t>
      </w:r>
      <w:r>
        <w:rPr>
          <w:rFonts w:asciiTheme="minorHAnsi" w:hAnsiTheme="minorHAnsi"/>
        </w:rPr>
        <w:t>Uvítáme každou připomínku k poskytování služby.</w:t>
      </w:r>
    </w:p>
    <w:p w:rsidR="009F3ED4" w:rsidRDefault="00616F50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Způsoby podávání stížností</w:t>
      </w:r>
    </w:p>
    <w:p w:rsidR="009F3ED4" w:rsidRDefault="00616F50">
      <w:pPr>
        <w:spacing w:after="12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Písemně:</w:t>
      </w:r>
    </w:p>
    <w:p w:rsidR="009F3ED4" w:rsidRDefault="00616F5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poslat poštou na adresu Služby následné péče „Pavučina“, Skautská 1081/9, 708 00 Ostrava – Poruba,</w:t>
      </w:r>
    </w:p>
    <w:p w:rsidR="009F3ED4" w:rsidRDefault="00616F5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poslat elektronickou poštou na adresu crpdz</w:t>
      </w:r>
      <w:r>
        <w:rPr>
          <w:rFonts w:asciiTheme="minorHAnsi" w:hAnsiTheme="minorHAnsi" w:cs="Arial"/>
        </w:rPr>
        <w:t>@c</w:t>
      </w:r>
      <w:r>
        <w:rPr>
          <w:rFonts w:asciiTheme="minorHAnsi" w:hAnsiTheme="minorHAnsi"/>
        </w:rPr>
        <w:t>rpdz.cz,</w:t>
      </w:r>
    </w:p>
    <w:p w:rsidR="009F3ED4" w:rsidRDefault="00616F5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předat kterémukoliv</w:t>
      </w:r>
      <w:r>
        <w:rPr>
          <w:rFonts w:asciiTheme="minorHAnsi" w:hAnsiTheme="minorHAnsi"/>
        </w:rPr>
        <w:t xml:space="preserve"> pracovníkovi služby osobně,</w:t>
      </w:r>
    </w:p>
    <w:p w:rsidR="009F3ED4" w:rsidRDefault="00616F50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prostřednictvím „Schránky stížností a připomínek“ umístěné na chodbě před kanceláří sociální pracovnice.</w:t>
      </w:r>
    </w:p>
    <w:p w:rsidR="009F3ED4" w:rsidRDefault="00616F50">
      <w:pPr>
        <w:spacing w:after="12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Telefonicky: </w:t>
      </w:r>
      <w:r>
        <w:rPr>
          <w:rFonts w:asciiTheme="minorHAnsi" w:hAnsiTheme="minorHAnsi"/>
          <w:b/>
        </w:rPr>
        <w:tab/>
        <w:t>596 912 612, 733 681 996, 737 572 081</w:t>
      </w:r>
    </w:p>
    <w:p w:rsidR="009F3ED4" w:rsidRDefault="00616F50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 telefonické stížnosti jste vyzváni, abyste se dostavili osobně nebo </w:t>
      </w:r>
      <w:r>
        <w:rPr>
          <w:rFonts w:asciiTheme="minorHAnsi" w:hAnsiTheme="minorHAnsi"/>
        </w:rPr>
        <w:t xml:space="preserve">stížnost doručili písemně. </w:t>
      </w:r>
    </w:p>
    <w:p w:rsidR="009F3ED4" w:rsidRDefault="00616F50">
      <w:pPr>
        <w:spacing w:after="12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Ústně: </w:t>
      </w:r>
    </w:p>
    <w:p w:rsidR="009F3ED4" w:rsidRDefault="00616F50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předat kterékoliv sociální pracovnici, která o stížnosti provede zápis do Evidence stížností a připomínek.</w:t>
      </w:r>
    </w:p>
    <w:p w:rsidR="009F3ED4" w:rsidRDefault="00616F50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Anonymně</w:t>
      </w:r>
      <w:r>
        <w:rPr>
          <w:rFonts w:asciiTheme="minorHAnsi" w:hAnsiTheme="minorHAnsi"/>
        </w:rPr>
        <w:t xml:space="preserve">  </w:t>
      </w:r>
    </w:p>
    <w:p w:rsidR="009F3ED4" w:rsidRDefault="00616F50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písemně nebo prostřednictvím „Schránky stížností a připomínek“ umístěné na chodbě před kanceláří sociální pracovnice. Služba následné péče „Pavučina“ se </w:t>
      </w:r>
      <w:r>
        <w:rPr>
          <w:rFonts w:asciiTheme="minorHAnsi" w:hAnsiTheme="minorHAnsi"/>
        </w:rPr>
        <w:lastRenderedPageBreak/>
        <w:t xml:space="preserve">anonymními stížnostmi zabývá stejně jako stížnostmi, kde je jejich autor znám. Anonymní stížnosti jsou </w:t>
      </w:r>
      <w:r>
        <w:rPr>
          <w:rFonts w:asciiTheme="minorHAnsi" w:hAnsiTheme="minorHAnsi"/>
        </w:rPr>
        <w:t xml:space="preserve">šetřeny pouze v případech, jsou-li adresné, konkrétní a z obsahu lze vyhodnotit, proti čemu směřují. </w:t>
      </w:r>
    </w:p>
    <w:p w:rsidR="009F3ED4" w:rsidRDefault="00616F50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 podání stížnosti můžete použít</w:t>
      </w:r>
      <w:r>
        <w:rPr>
          <w:rFonts w:asciiTheme="minorHAnsi" w:hAnsiTheme="minorHAnsi"/>
          <w:b/>
        </w:rPr>
        <w:t xml:space="preserve"> „Formulář pro podání stížností a připomínek“, </w:t>
      </w:r>
      <w:r>
        <w:rPr>
          <w:rFonts w:asciiTheme="minorHAnsi" w:hAnsiTheme="minorHAnsi"/>
        </w:rPr>
        <w:t>který je k dispozici v čekárně služby, příp.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na webových stránkách v sekc</w:t>
      </w:r>
      <w:r>
        <w:rPr>
          <w:rFonts w:asciiTheme="minorHAnsi" w:hAnsiTheme="minorHAnsi"/>
        </w:rPr>
        <w:t xml:space="preserve">i „Služba následné péče Pavučina“ ve složce „Dokumenty“. </w:t>
      </w:r>
    </w:p>
    <w:p w:rsidR="009F3ED4" w:rsidRDefault="00616F5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Náležitosti písemného podání stížnosti:</w:t>
      </w:r>
    </w:p>
    <w:p w:rsidR="009F3ED4" w:rsidRDefault="00616F50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Evidenční číslo, datum</w:t>
      </w:r>
      <w:r>
        <w:rPr>
          <w:rFonts w:ascii="Calibri" w:hAnsi="Calibri"/>
          <w:b/>
          <w:i/>
        </w:rPr>
        <w:tab/>
      </w:r>
    </w:p>
    <w:p w:rsidR="009F3ED4" w:rsidRDefault="00616F5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Jméno a adresa podavatele (stěžovatele) v případě, že není anonymní.</w:t>
      </w:r>
    </w:p>
    <w:p w:rsidR="009F3ED4" w:rsidRDefault="00616F5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Druh: stížnost/připomínka</w:t>
      </w:r>
    </w:p>
    <w:p w:rsidR="009F3ED4" w:rsidRDefault="00616F5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Na co si stěžovatel stěžuje. Datum </w:t>
      </w:r>
      <w:r>
        <w:rPr>
          <w:rFonts w:ascii="Calibri" w:hAnsi="Calibri"/>
        </w:rPr>
        <w:t>události, na kterou si stěžuje. Jedná-li se o stížnost na pracovníka služby, je zapotřebí uvést jeho jméno.</w:t>
      </w:r>
    </w:p>
    <w:p w:rsidR="009F3ED4" w:rsidRDefault="00616F5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K čemu máte připomínky? </w:t>
      </w:r>
    </w:p>
    <w:p w:rsidR="009F3ED4" w:rsidRDefault="00616F5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Podpis podavatele/stěžovatele</w:t>
      </w:r>
    </w:p>
    <w:p w:rsidR="009F3ED4" w:rsidRDefault="00616F5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Průběh prošetření stížnosti</w:t>
      </w:r>
    </w:p>
    <w:p w:rsidR="009F3ED4" w:rsidRDefault="00616F5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Zhodnocení situace, zda stížnost byla předmětná či ne</w:t>
      </w:r>
    </w:p>
    <w:p w:rsidR="009F3ED4" w:rsidRDefault="00616F5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Návrh opatř</w:t>
      </w:r>
      <w:r>
        <w:rPr>
          <w:rFonts w:ascii="Calibri" w:hAnsi="Calibri"/>
        </w:rPr>
        <w:t>ení</w:t>
      </w:r>
    </w:p>
    <w:p w:rsidR="009F3ED4" w:rsidRDefault="00616F5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Kdo stížnost prošetřil, jeho podpis, datum</w:t>
      </w:r>
    </w:p>
    <w:p w:rsidR="009F3ED4" w:rsidRDefault="00616F5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Datum, kdy byl podavatel/stěžovatel obeznámen se závěrem stížnosti</w:t>
      </w:r>
    </w:p>
    <w:p w:rsidR="009F3ED4" w:rsidRDefault="009F3ED4">
      <w:pPr>
        <w:spacing w:after="120" w:line="276" w:lineRule="auto"/>
        <w:ind w:left="360"/>
        <w:jc w:val="both"/>
        <w:rPr>
          <w:rFonts w:asciiTheme="minorHAnsi" w:hAnsiTheme="minorHAnsi"/>
        </w:rPr>
      </w:pPr>
    </w:p>
    <w:p w:rsidR="009F3ED4" w:rsidRDefault="00616F50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Postup pro vyřizování stížnosti</w:t>
      </w:r>
    </w:p>
    <w:p w:rsidR="009F3ED4" w:rsidRDefault="00616F50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Stížnost může převzít kterákoliv pracovnice Služby následné péče „Pavučina“, o čemž je proveden zápis do form</w:t>
      </w:r>
      <w:r>
        <w:rPr>
          <w:rFonts w:asciiTheme="minorHAnsi" w:hAnsiTheme="minorHAnsi"/>
        </w:rPr>
        <w:t xml:space="preserve">uláře „Evidence stížností a připomínek“.  Pracovnice stížnost předá podle toho, komu přísluší stížnost vyřídit. </w:t>
      </w:r>
    </w:p>
    <w:p w:rsidR="009F3ED4" w:rsidRDefault="00616F50">
      <w:pPr>
        <w:spacing w:after="120" w:line="276" w:lineRule="auto"/>
        <w:jc w:val="both"/>
      </w:pPr>
      <w:r>
        <w:rPr>
          <w:rFonts w:asciiTheme="minorHAnsi" w:hAnsiTheme="minorHAnsi"/>
        </w:rPr>
        <w:t xml:space="preserve">Stížnosti jsou projednávány </w:t>
      </w:r>
      <w:r>
        <w:rPr>
          <w:rFonts w:ascii="Calibri" w:hAnsi="Calibri" w:cs="Arial"/>
        </w:rPr>
        <w:t xml:space="preserve">na poradě CRPDZ MSK. Jsou učiněna opatření, aby k podobné situaci v budoucnu nemohlo dojít, </w:t>
      </w:r>
      <w:r>
        <w:rPr>
          <w:rFonts w:asciiTheme="minorHAnsi" w:hAnsiTheme="minorHAnsi"/>
        </w:rPr>
        <w:t>o čemž je uskutečněn zá</w:t>
      </w:r>
      <w:r>
        <w:rPr>
          <w:rFonts w:asciiTheme="minorHAnsi" w:hAnsiTheme="minorHAnsi"/>
        </w:rPr>
        <w:t>pis, který je zařazen do složky „Evidence stížností a připomínek“. Vyřizováním stížnosti není pověřen pracovník, proti kterému směřuje stížnost nebo který by mohl být jiným způsobem osobně zainteresován na způsobu, jak bude stížnost vyřízena. Směřuje-li st</w:t>
      </w:r>
      <w:r>
        <w:rPr>
          <w:rFonts w:asciiTheme="minorHAnsi" w:hAnsiTheme="minorHAnsi"/>
        </w:rPr>
        <w:t xml:space="preserve">ížnost proti vedoucí služby, prošetřuje ji nadřízený (předseda spolku). </w:t>
      </w:r>
    </w:p>
    <w:p w:rsidR="009F3ED4" w:rsidRDefault="00616F50">
      <w:pPr>
        <w:spacing w:after="120" w:line="276" w:lineRule="auto"/>
        <w:jc w:val="both"/>
      </w:pPr>
      <w:r>
        <w:rPr>
          <w:rFonts w:ascii="Calibri" w:hAnsi="Calibri" w:cs="Arial"/>
          <w:b/>
          <w:bCs/>
        </w:rPr>
        <w:t>Přijatá opatření u oprávněných stížností s</w:t>
      </w:r>
      <w:r>
        <w:rPr>
          <w:rFonts w:ascii="Calibri" w:hAnsi="Calibri" w:cs="Arial"/>
          <w:b/>
        </w:rPr>
        <w:t>měrem k uživateli</w:t>
      </w:r>
    </w:p>
    <w:p w:rsidR="009F3ED4" w:rsidRDefault="00616F50">
      <w:pPr>
        <w:spacing w:after="120" w:line="276" w:lineRule="auto"/>
        <w:jc w:val="both"/>
      </w:pPr>
      <w:r>
        <w:rPr>
          <w:rFonts w:asciiTheme="minorHAnsi" w:hAnsiTheme="minorHAnsi" w:cs="Arial"/>
        </w:rPr>
        <w:t>Uživateli je vždy nabídnuta omluva – ať už pracovnicí, která jeho práva porušila, anebo vedoucí pracovnicí jménem celé orga</w:t>
      </w:r>
      <w:r>
        <w:rPr>
          <w:rFonts w:asciiTheme="minorHAnsi" w:hAnsiTheme="minorHAnsi" w:cs="Arial"/>
        </w:rPr>
        <w:t>nizace. V případě potřeby jsou porušena práva narovnána a případná škoda uhrazena. Uživateli je kromě omluvy také nabídnuto vysvětlení situace, popřípadě důsledky, které budou následovat.</w:t>
      </w:r>
    </w:p>
    <w:p w:rsidR="009F3ED4" w:rsidRDefault="009F3ED4">
      <w:pPr>
        <w:spacing w:after="120" w:line="276" w:lineRule="auto"/>
        <w:jc w:val="both"/>
        <w:rPr>
          <w:rFonts w:asciiTheme="minorHAnsi" w:hAnsiTheme="minorHAnsi" w:cs="Arial"/>
        </w:rPr>
      </w:pPr>
    </w:p>
    <w:p w:rsidR="009F3ED4" w:rsidRDefault="00616F50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Evidování stížností</w:t>
      </w:r>
    </w:p>
    <w:p w:rsidR="009F3ED4" w:rsidRDefault="00616F50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Všechny stížnosti (písemné, ústní, </w:t>
      </w:r>
      <w:r>
        <w:rPr>
          <w:rFonts w:asciiTheme="minorHAnsi" w:hAnsiTheme="minorHAnsi"/>
        </w:rPr>
        <w:t>prostřednictvím „Schránky stížností a připomínek“) na kvalitu sociální služby nebo na způsob poskytování služby jsou zaznamenávány písemně v Evidenci stížností a připomínek. Tento dokument je uložen v kanceláři vedoucí SNP „Pavučina“.</w:t>
      </w:r>
    </w:p>
    <w:p w:rsidR="009F3ED4" w:rsidRDefault="009F3ED4">
      <w:pPr>
        <w:spacing w:after="120" w:line="276" w:lineRule="auto"/>
        <w:jc w:val="both"/>
        <w:rPr>
          <w:rFonts w:asciiTheme="minorHAnsi" w:hAnsiTheme="minorHAnsi"/>
        </w:rPr>
      </w:pPr>
    </w:p>
    <w:p w:rsidR="009F3ED4" w:rsidRDefault="00616F50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Lhůty pro vyřízení s</w:t>
      </w:r>
      <w:r>
        <w:rPr>
          <w:rFonts w:asciiTheme="minorHAnsi" w:hAnsiTheme="minorHAnsi"/>
          <w:b/>
        </w:rPr>
        <w:t>tížností a způsob seznámení s vyřízením stížnosti</w:t>
      </w:r>
    </w:p>
    <w:p w:rsidR="009F3ED4" w:rsidRDefault="00616F50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Lhůta pro vyřízení stížnosti je 28 dní. Stížnost je prošetřena v celém rozsahu. Poté Vám bude doručena písemná odpověď, která obsahuje informace o výsledku šetření, o přijatých opatřeních k odstranění zjišt</w:t>
      </w:r>
      <w:r>
        <w:rPr>
          <w:rFonts w:asciiTheme="minorHAnsi" w:hAnsiTheme="minorHAnsi"/>
        </w:rPr>
        <w:t>ěných závad, případně dalších možnostech vedoucích ke zlepšení služby. Písemnou odpověď Vám můžeme objasnit v osobním rozhovoru.</w:t>
      </w:r>
    </w:p>
    <w:p w:rsidR="009F3ED4" w:rsidRDefault="00616F50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výsledku šetření budete informován/a i v případě, že stížnost byla shledána jako neodůvodněná.</w:t>
      </w:r>
    </w:p>
    <w:p w:rsidR="009F3ED4" w:rsidRDefault="00616F50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Výsledek</w:t>
      </w:r>
      <w:r>
        <w:rPr>
          <w:rFonts w:ascii="Calibri" w:hAnsi="Calibri"/>
        </w:rPr>
        <w:t xml:space="preserve"> vyřízení </w:t>
      </w:r>
      <w:r>
        <w:rPr>
          <w:rFonts w:ascii="Calibri" w:hAnsi="Calibri"/>
          <w:b/>
        </w:rPr>
        <w:t>anonymní stí</w:t>
      </w:r>
      <w:r>
        <w:rPr>
          <w:rFonts w:ascii="Calibri" w:hAnsi="Calibri"/>
          <w:b/>
        </w:rPr>
        <w:t>žnosti</w:t>
      </w:r>
      <w:r>
        <w:rPr>
          <w:rFonts w:ascii="Calibri" w:hAnsi="Calibri"/>
        </w:rPr>
        <w:t xml:space="preserve"> je vyvěšen na nástěnce před kanceláří sociální pracovnice, přičemž je vždy dbáno na ochranu lidských práv, osobních a citlivých údajů případně dotčených osob. Pokud nechcete, aby výsledek šetření Vaší anonymní stížnosti byl vyvěšen na nástěnce, uveď</w:t>
      </w:r>
      <w:r>
        <w:rPr>
          <w:rFonts w:ascii="Calibri" w:hAnsi="Calibri"/>
        </w:rPr>
        <w:t>te to do své stížnosti.</w:t>
      </w:r>
    </w:p>
    <w:p w:rsidR="00616F50" w:rsidRDefault="00616F50">
      <w:pPr>
        <w:spacing w:after="120" w:line="276" w:lineRule="auto"/>
        <w:jc w:val="both"/>
        <w:rPr>
          <w:rFonts w:ascii="Calibri" w:hAnsi="Calibri"/>
        </w:rPr>
      </w:pPr>
    </w:p>
    <w:p w:rsidR="009F3ED4" w:rsidRDefault="00616F50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Právo obrátit se na nadřízený orgán a nezávislý orgán</w:t>
      </w:r>
    </w:p>
    <w:p w:rsidR="009F3ED4" w:rsidRDefault="00616F50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případě nespokojenosti s vyřízením své stížnosti se můžete obrátit na nadřízené orgány nebo na instituce sledující dodržování lidských práv.</w:t>
      </w:r>
    </w:p>
    <w:p w:rsidR="009F3ED4" w:rsidRDefault="00616F50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Jsou to tyto instituce:</w:t>
      </w:r>
    </w:p>
    <w:p w:rsidR="009F3ED4" w:rsidRDefault="00616F50">
      <w:pPr>
        <w:spacing w:before="240" w:after="120"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Statutární </w:t>
      </w:r>
      <w:r>
        <w:rPr>
          <w:rFonts w:asciiTheme="minorHAnsi" w:hAnsiTheme="minorHAnsi" w:cs="Arial"/>
          <w:b/>
        </w:rPr>
        <w:t>město Ostrava</w:t>
      </w:r>
    </w:p>
    <w:p w:rsidR="009F3ED4" w:rsidRDefault="00616F50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Prokešovo náměstí 8</w:t>
      </w:r>
    </w:p>
    <w:p w:rsidR="009F3ED4" w:rsidRDefault="00616F50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729 30 Ostrava</w:t>
      </w:r>
    </w:p>
    <w:p w:rsidR="009F3ED4" w:rsidRDefault="00616F50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Tel.: 599 444 444, E-mail: posta@ostrava.cz</w:t>
      </w:r>
    </w:p>
    <w:p w:rsidR="009F3ED4" w:rsidRDefault="00616F50">
      <w:pPr>
        <w:spacing w:before="240" w:after="120"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Moravskoslezský kraj – Krajský úřad</w:t>
      </w:r>
    </w:p>
    <w:p w:rsidR="009F3ED4" w:rsidRDefault="00616F50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28. října 117</w:t>
      </w:r>
    </w:p>
    <w:p w:rsidR="009F3ED4" w:rsidRDefault="00616F50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702 18 Ostrava</w:t>
      </w:r>
    </w:p>
    <w:p w:rsidR="009F3ED4" w:rsidRDefault="00616F50">
      <w:pPr>
        <w:spacing w:after="12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Tel: 595 622 222, E-mail: posta@kr-moravskoslezsky.cz</w:t>
      </w:r>
    </w:p>
    <w:p w:rsidR="00616F50" w:rsidRDefault="00616F50">
      <w:pPr>
        <w:spacing w:before="240" w:after="120" w:line="276" w:lineRule="auto"/>
        <w:jc w:val="both"/>
        <w:rPr>
          <w:rFonts w:asciiTheme="minorHAnsi" w:hAnsiTheme="minorHAnsi" w:cs="Arial"/>
          <w:b/>
        </w:rPr>
      </w:pPr>
    </w:p>
    <w:p w:rsidR="009F3ED4" w:rsidRDefault="00616F50">
      <w:pPr>
        <w:spacing w:before="240" w:after="120" w:line="276" w:lineRule="auto"/>
        <w:jc w:val="both"/>
        <w:rPr>
          <w:rFonts w:asciiTheme="minorHAnsi" w:hAnsiTheme="minorHAnsi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</w:rPr>
        <w:lastRenderedPageBreak/>
        <w:t>Ministerstvo práce a sociálních věcí ČR</w:t>
      </w:r>
    </w:p>
    <w:p w:rsidR="009F3ED4" w:rsidRDefault="00616F50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P</w:t>
      </w:r>
      <w:r>
        <w:rPr>
          <w:rFonts w:asciiTheme="minorHAnsi" w:hAnsiTheme="minorHAnsi" w:cs="Arial"/>
        </w:rPr>
        <w:t>oříčním právu 1/376</w:t>
      </w:r>
    </w:p>
    <w:p w:rsidR="009F3ED4" w:rsidRDefault="00616F50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128 01 Praha 2</w:t>
      </w:r>
    </w:p>
    <w:p w:rsidR="009F3ED4" w:rsidRDefault="00616F50">
      <w:pPr>
        <w:spacing w:after="12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Tel: 221 921 111, E-mail: posta@mpsv.cz</w:t>
      </w:r>
    </w:p>
    <w:p w:rsidR="009F3ED4" w:rsidRDefault="00616F50">
      <w:pPr>
        <w:spacing w:before="240" w:after="120"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Kancelář veřejného ochránce práv</w:t>
      </w:r>
    </w:p>
    <w:p w:rsidR="009F3ED4" w:rsidRDefault="00616F50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Údolní 39</w:t>
      </w:r>
    </w:p>
    <w:p w:rsidR="009F3ED4" w:rsidRDefault="00616F50">
      <w:pPr>
        <w:tabs>
          <w:tab w:val="center" w:pos="4535"/>
        </w:tabs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602 00 Brno</w:t>
      </w:r>
      <w:r>
        <w:rPr>
          <w:rFonts w:asciiTheme="minorHAnsi" w:hAnsiTheme="minorHAnsi" w:cs="Arial"/>
        </w:rPr>
        <w:tab/>
      </w:r>
    </w:p>
    <w:p w:rsidR="009F3ED4" w:rsidRDefault="00616F50">
      <w:pPr>
        <w:rPr>
          <w:rFonts w:ascii="Calibri" w:hAnsi="Calibri" w:cs="Arial"/>
        </w:rPr>
      </w:pPr>
      <w:r>
        <w:rPr>
          <w:rFonts w:ascii="Calibri" w:hAnsi="Calibri" w:cs="Arial"/>
        </w:rPr>
        <w:t>Tel: 542 542 888, E-mail: podatelna@ochrance.cz</w:t>
      </w:r>
    </w:p>
    <w:p w:rsidR="009F3ED4" w:rsidRDefault="009F3ED4">
      <w:pPr>
        <w:ind w:left="360"/>
        <w:jc w:val="both"/>
      </w:pPr>
    </w:p>
    <w:p w:rsidR="009F3ED4" w:rsidRDefault="009F3ED4">
      <w:pPr>
        <w:ind w:left="360"/>
        <w:jc w:val="both"/>
      </w:pPr>
    </w:p>
    <w:sectPr w:rsidR="009F3ED4">
      <w:headerReference w:type="default" r:id="rId8"/>
      <w:footerReference w:type="default" r:id="rId9"/>
      <w:pgSz w:w="11906" w:h="16838"/>
      <w:pgMar w:top="2098" w:right="1418" w:bottom="1618" w:left="1418" w:header="360" w:footer="34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6F50">
      <w:r>
        <w:separator/>
      </w:r>
    </w:p>
  </w:endnote>
  <w:endnote w:type="continuationSeparator" w:id="0">
    <w:p w:rsidR="00000000" w:rsidRDefault="0061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D4" w:rsidRDefault="00616F50">
    <w:pPr>
      <w:pStyle w:val="Zpat"/>
      <w:jc w:val="center"/>
      <w:rPr>
        <w:color w:val="808080" w:themeColor="background1" w:themeShade="80"/>
        <w:sz w:val="16"/>
        <w:szCs w:val="16"/>
      </w:rPr>
    </w:pPr>
    <w:r>
      <w:rPr>
        <w:b/>
        <w:color w:val="808080" w:themeColor="background1" w:themeShade="80"/>
        <w:sz w:val="16"/>
        <w:szCs w:val="16"/>
      </w:rPr>
      <w:t>Adresa</w:t>
    </w:r>
    <w:r>
      <w:rPr>
        <w:color w:val="808080" w:themeColor="background1" w:themeShade="80"/>
        <w:sz w:val="16"/>
        <w:szCs w:val="16"/>
      </w:rPr>
      <w:t xml:space="preserve">: Skautská 1081/9, 708 00 Ostrava-Poruba, </w:t>
    </w:r>
    <w:r>
      <w:rPr>
        <w:b/>
        <w:color w:val="808080" w:themeColor="background1" w:themeShade="80"/>
        <w:sz w:val="16"/>
        <w:szCs w:val="16"/>
      </w:rPr>
      <w:t>kontakt</w:t>
    </w:r>
    <w:r>
      <w:rPr>
        <w:color w:val="808080" w:themeColor="background1" w:themeShade="80"/>
        <w:sz w:val="16"/>
        <w:szCs w:val="16"/>
      </w:rPr>
      <w:t>: +420 596 912 612, +420 733 681 996, +420 737 572 081</w:t>
    </w:r>
  </w:p>
  <w:p w:rsidR="009F3ED4" w:rsidRDefault="00616F50">
    <w:pPr>
      <w:pStyle w:val="Zpat"/>
      <w:jc w:val="center"/>
      <w:rPr>
        <w:color w:val="808080" w:themeColor="background1" w:themeShade="80"/>
        <w:sz w:val="16"/>
        <w:szCs w:val="16"/>
      </w:rPr>
    </w:pPr>
    <w:hyperlink r:id="rId1">
      <w:r>
        <w:rPr>
          <w:rStyle w:val="Internetovodkaz"/>
          <w:color w:val="808080" w:themeColor="background1" w:themeShade="80"/>
          <w:sz w:val="16"/>
          <w:szCs w:val="16"/>
        </w:rPr>
        <w:t>www.crpdz.cz</w:t>
      </w:r>
    </w:hyperlink>
    <w:r>
      <w:rPr>
        <w:color w:val="808080" w:themeColor="background1" w:themeShade="80"/>
        <w:sz w:val="16"/>
        <w:szCs w:val="16"/>
      </w:rPr>
      <w:t xml:space="preserve">, </w:t>
    </w:r>
    <w:hyperlink r:id="rId2">
      <w:r>
        <w:rPr>
          <w:rStyle w:val="Internetovodkaz"/>
          <w:color w:val="808080" w:themeColor="background1" w:themeShade="80"/>
          <w:sz w:val="16"/>
          <w:szCs w:val="16"/>
        </w:rPr>
        <w:t>crpdz@crpdz.cz</w:t>
      </w:r>
    </w:hyperlink>
    <w:r>
      <w:rPr>
        <w:color w:val="808080" w:themeColor="background1" w:themeShade="80"/>
        <w:sz w:val="16"/>
        <w:szCs w:val="16"/>
      </w:rPr>
      <w:t xml:space="preserve">, </w:t>
    </w:r>
    <w:r>
      <w:rPr>
        <w:rFonts w:cs="Arial"/>
        <w:b/>
        <w:color w:val="808080" w:themeColor="background1" w:themeShade="80"/>
        <w:sz w:val="16"/>
        <w:szCs w:val="16"/>
      </w:rPr>
      <w:t>IČ</w:t>
    </w:r>
    <w:r>
      <w:rPr>
        <w:rFonts w:cs="Arial"/>
        <w:color w:val="808080" w:themeColor="background1" w:themeShade="80"/>
        <w:sz w:val="16"/>
        <w:szCs w:val="16"/>
      </w:rPr>
      <w:t>: 26 64 06 01</w:t>
    </w:r>
  </w:p>
  <w:p w:rsidR="009F3ED4" w:rsidRDefault="00616F50">
    <w:pPr>
      <w:pStyle w:val="Zpat"/>
      <w:rPr>
        <w:b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            </w:t>
    </w:r>
  </w:p>
  <w:p w:rsidR="009F3ED4" w:rsidRDefault="00616F50">
    <w:pPr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Strana </w:t>
    </w:r>
    <w:r>
      <w:rPr>
        <w:color w:val="808080" w:themeColor="background1" w:themeShade="80"/>
        <w:sz w:val="16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rPr>
        <w:color w:val="808080" w:themeColor="background1" w:themeShade="80"/>
        <w:sz w:val="16"/>
        <w:szCs w:val="16"/>
      </w:rPr>
      <w:t xml:space="preserve"> (celkem </w:t>
    </w:r>
    <w:r>
      <w:rPr>
        <w:color w:val="808080" w:themeColor="background1" w:themeShade="80"/>
        <w:sz w:val="16"/>
        <w:szCs w:val="16"/>
      </w:rPr>
      <w:fldChar w:fldCharType="begin"/>
    </w:r>
    <w:r>
      <w:instrText>NUMPAGES</w:instrText>
    </w:r>
    <w:r>
      <w:fldChar w:fldCharType="separate"/>
    </w:r>
    <w:r>
      <w:rPr>
        <w:noProof/>
      </w:rPr>
      <w:t>4</w:t>
    </w:r>
    <w:r>
      <w:fldChar w:fldCharType="end"/>
    </w:r>
    <w:r>
      <w:rPr>
        <w:color w:val="808080" w:themeColor="background1" w:themeShade="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6F50">
      <w:r>
        <w:separator/>
      </w:r>
    </w:p>
  </w:footnote>
  <w:footnote w:type="continuationSeparator" w:id="0">
    <w:p w:rsidR="00000000" w:rsidRDefault="0061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D4" w:rsidRDefault="00616F50">
    <w:pPr>
      <w:pStyle w:val="Zhlav"/>
      <w:ind w:left="4536"/>
      <w:jc w:val="center"/>
      <w:rPr>
        <w:b/>
        <w:smallCaps/>
        <w:color w:val="808080" w:themeColor="background1" w:themeShade="80"/>
        <w:sz w:val="16"/>
        <w:szCs w:val="16"/>
      </w:rPr>
    </w:pPr>
    <w:r>
      <w:rPr>
        <w:b/>
        <w:smallCaps/>
        <w:sz w:val="22"/>
        <w:szCs w:val="22"/>
      </w:rPr>
      <w:br/>
    </w:r>
    <w:r>
      <w:rPr>
        <w:b/>
        <w:smallCaps/>
        <w:noProof/>
        <w:sz w:val="22"/>
        <w:szCs w:val="22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-80645</wp:posOffset>
          </wp:positionV>
          <wp:extent cx="3194050" cy="996950"/>
          <wp:effectExtent l="0" t="0" r="0" b="0"/>
          <wp:wrapSquare wrapText="bothSides"/>
          <wp:docPr id="1" name="Picture" descr="C:\Users\pavucina\Documents\blázinec\loga\CRPDZ_logoBarevne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pavucina\Documents\blázinec\loga\CRPDZ_logoBarevne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9405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ED4" w:rsidRDefault="009F3ED4">
    <w:pPr>
      <w:pStyle w:val="Zhlav"/>
      <w:ind w:left="4536"/>
      <w:jc w:val="center"/>
      <w:rPr>
        <w:b/>
        <w:smallCaps/>
        <w:color w:val="808080" w:themeColor="background1" w:themeShade="80"/>
        <w:sz w:val="16"/>
        <w:szCs w:val="16"/>
      </w:rPr>
    </w:pPr>
  </w:p>
  <w:p w:rsidR="009F3ED4" w:rsidRDefault="009F3ED4">
    <w:pPr>
      <w:pStyle w:val="Zhlav"/>
      <w:ind w:left="4536"/>
      <w:jc w:val="center"/>
      <w:rPr>
        <w:b/>
        <w:smallCaps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4339"/>
    <w:multiLevelType w:val="multilevel"/>
    <w:tmpl w:val="5A5E5D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545C8"/>
    <w:multiLevelType w:val="multilevel"/>
    <w:tmpl w:val="ACC470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4522C0"/>
    <w:multiLevelType w:val="multilevel"/>
    <w:tmpl w:val="90EE8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2B5494"/>
    <w:multiLevelType w:val="multilevel"/>
    <w:tmpl w:val="EDA8E8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BA30AD"/>
    <w:multiLevelType w:val="multilevel"/>
    <w:tmpl w:val="1430E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ED4"/>
    <w:rsid w:val="00616F50"/>
    <w:rsid w:val="009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36EBC-EE28-4451-AFB2-D34386AF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849"/>
    <w:pPr>
      <w:suppressAutoHyphens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B02C6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B01D5"/>
    <w:rPr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tarSymbol"/>
      <w:sz w:val="18"/>
      <w:szCs w:val="18"/>
    </w:rPr>
  </w:style>
  <w:style w:type="character" w:customStyle="1" w:styleId="ListLabel4">
    <w:name w:val="ListLabel 4"/>
    <w:rPr>
      <w:color w:val="00000A"/>
      <w:sz w:val="22"/>
      <w:szCs w:val="22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rsid w:val="00B02C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02C6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C7D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6F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pdz@crpdz.cz" TargetMode="External"/><Relationship Id="rId1" Type="http://schemas.openxmlformats.org/officeDocument/2006/relationships/hyperlink" Target="http://www.crpdz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22629-22BD-456F-870E-8BFC856D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4</Pages>
  <Words>817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Služba následné péče „Pavučina“  je sociální služba určená lidem s obtížemi v oblasti duševního zdraví z Ostravy a okolí</vt:lpstr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Služba následné péče „Pavučina“  je sociální služba určená lidem s obtížemi v oblasti duševního zdraví z Ostravy a okolí</dc:title>
  <dc:creator>lenka</dc:creator>
  <cp:lastModifiedBy>Lenka Pouchlá</cp:lastModifiedBy>
  <cp:revision>17</cp:revision>
  <cp:lastPrinted>2015-11-16T07:10:00Z</cp:lastPrinted>
  <dcterms:created xsi:type="dcterms:W3CDTF">2015-10-30T13:50:00Z</dcterms:created>
  <dcterms:modified xsi:type="dcterms:W3CDTF">2015-11-16T07:10:00Z</dcterms:modified>
  <dc:language>cs-CZ</dc:language>
</cp:coreProperties>
</file>